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F14C89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что Воронова Инна Валерьевна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F14C89">
        <w:rPr>
          <w:bCs w:val="0"/>
          <w:color w:val="0033CC"/>
          <w:sz w:val="28"/>
          <w:szCs w:val="28"/>
        </w:rPr>
        <w:t xml:space="preserve">«Причины отрицательного влияния личного примера преподавателя на </w:t>
      </w:r>
      <w:proofErr w:type="gramStart"/>
      <w:r w:rsidR="00F14C89">
        <w:rPr>
          <w:bCs w:val="0"/>
          <w:color w:val="0033CC"/>
          <w:sz w:val="28"/>
          <w:szCs w:val="28"/>
        </w:rPr>
        <w:t>обучающихся</w:t>
      </w:r>
      <w:proofErr w:type="gramEnd"/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0E6151">
        <w:rPr>
          <w:bCs w:val="0"/>
          <w:color w:val="0033CC"/>
          <w:sz w:val="28"/>
          <w:szCs w:val="28"/>
        </w:rPr>
        <w:t>минации «Лучшая статья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14C8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01EA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14C89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2020-05-13T08:23:00Z</dcterms:modified>
</cp:coreProperties>
</file>