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513473">
        <w:rPr>
          <w:b/>
          <w:bCs/>
          <w:color w:val="0033CC"/>
          <w:sz w:val="28"/>
          <w:szCs w:val="28"/>
        </w:rPr>
        <w:t>Власова Татьяна Ивановна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 xml:space="preserve">мероприятия </w:t>
      </w:r>
    </w:p>
    <w:p w:rsidR="00BC0BA7" w:rsidRDefault="00513473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«Олимпиада по немецкому языку для студентов 1 курса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Курдюмов</w:t>
      </w: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D57DE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2020-05-13T17:47:00Z</dcterms:modified>
</cp:coreProperties>
</file>