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F772D0">
        <w:rPr>
          <w:b/>
          <w:bCs/>
          <w:color w:val="0033CC"/>
          <w:sz w:val="28"/>
          <w:szCs w:val="28"/>
        </w:rPr>
        <w:t>Крылова Ирина Константиновна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F772D0" w:rsidRDefault="00F772D0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практического</w:t>
      </w:r>
      <w:r w:rsidR="001A58AB">
        <w:rPr>
          <w:bCs w:val="0"/>
          <w:color w:val="0033CC"/>
          <w:sz w:val="28"/>
          <w:szCs w:val="28"/>
        </w:rPr>
        <w:t xml:space="preserve"> занятия</w:t>
      </w:r>
      <w:r w:rsidR="006B4C8D">
        <w:rPr>
          <w:bCs w:val="0"/>
          <w:color w:val="0033CC"/>
          <w:sz w:val="28"/>
          <w:szCs w:val="28"/>
        </w:rPr>
        <w:t xml:space="preserve"> </w:t>
      </w:r>
    </w:p>
    <w:p w:rsidR="00BC0BA7" w:rsidRDefault="00F772D0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теме «Ассортимент холодных закусок для фуршета</w:t>
      </w:r>
      <w:r w:rsidR="006B4C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772D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2020-05-12T18:09:00Z</dcterms:modified>
</cp:coreProperties>
</file>