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154AFE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Воронова Инна Валерьевна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B1C0B">
        <w:rPr>
          <w:bCs w:val="0"/>
          <w:color w:val="0033CC"/>
          <w:sz w:val="28"/>
          <w:szCs w:val="28"/>
        </w:rPr>
        <w:t xml:space="preserve">1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154AFE">
        <w:rPr>
          <w:b/>
          <w:bCs/>
          <w:i/>
          <w:color w:val="0033CC"/>
          <w:sz w:val="28"/>
          <w:szCs w:val="28"/>
        </w:rPr>
        <w:t xml:space="preserve"> «Методические рекомендации по выполнению практических работ по дисциплине «Гидравлические и пневматические системы»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154AFE" w:rsidRDefault="001878B1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154AFE">
        <w:rPr>
          <w:bCs w:val="0"/>
          <w:color w:val="0033CC"/>
          <w:sz w:val="28"/>
          <w:szCs w:val="28"/>
        </w:rPr>
        <w:t>ции</w:t>
      </w:r>
    </w:p>
    <w:p w:rsidR="009074B2" w:rsidRPr="003B1C0B" w:rsidRDefault="00154AFE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«Методические рекомендации, разработки для студентов и преподавателей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54AF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0C1D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54AFE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2020-05-14T15:50:00Z</dcterms:modified>
</cp:coreProperties>
</file>